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</w:t>
      </w: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lastRenderedPageBreak/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>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lastRenderedPageBreak/>
        <w:t>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каб.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lastRenderedPageBreak/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>– Семитко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каб.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Уральского института управления филиала РАНХиГС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Нуштайкина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>Юридическая клиника Института права и предпринимательства УрГЮУ</w:t>
      </w:r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каб.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Института Юстиции УрГЮУ</w:t>
      </w:r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478C7">
        <w:rPr>
          <w:rFonts w:ascii="Times New Roman" w:hAnsi="Times New Roman" w:cs="Times New Roman"/>
          <w:sz w:val="28"/>
          <w:szCs w:val="28"/>
        </w:rPr>
        <w:t>Валиуллин Эльдар Равинович</w:t>
      </w:r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r w:rsidR="00A971DD">
        <w:rPr>
          <w:rFonts w:ascii="Times New Roman" w:hAnsi="Times New Roman" w:cs="Times New Roman"/>
          <w:sz w:val="28"/>
          <w:szCs w:val="28"/>
        </w:rPr>
        <w:t>каб</w:t>
      </w:r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Института государственного и международного права УрГЮУ</w:t>
      </w:r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Комсомольская, д. 23, каб.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Института прокуратуры УрГЮУ</w:t>
      </w:r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863CE">
        <w:rPr>
          <w:rFonts w:ascii="Times New Roman" w:hAnsi="Times New Roman" w:cs="Times New Roman"/>
          <w:sz w:val="28"/>
          <w:szCs w:val="28"/>
        </w:rPr>
        <w:t>Туктамышев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lastRenderedPageBreak/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1216A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8DDD-1D41-4367-9EB2-2383F3DA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Пользователь Windows</cp:lastModifiedBy>
  <cp:revision>2</cp:revision>
  <cp:lastPrinted>2021-10-27T09:47:00Z</cp:lastPrinted>
  <dcterms:created xsi:type="dcterms:W3CDTF">2021-11-08T13:21:00Z</dcterms:created>
  <dcterms:modified xsi:type="dcterms:W3CDTF">2021-11-08T13:21:00Z</dcterms:modified>
</cp:coreProperties>
</file>